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00" w:lineRule="exact"/>
        <w:rPr>
          <w:rFonts w:eastAsia="黑体"/>
        </w:rPr>
      </w:pPr>
      <w:r>
        <w:rPr>
          <w:rFonts w:hAnsi="黑体" w:eastAsia="黑体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-562610</wp:posOffset>
                </wp:positionH>
                <wp:positionV relativeFrom="paragraph">
                  <wp:posOffset>54610</wp:posOffset>
                </wp:positionV>
                <wp:extent cx="419100" cy="1781175"/>
                <wp:effectExtent l="5080" t="4445" r="13970" b="508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1781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pacing w:line="280" w:lineRule="exact"/>
                              <w:ind w:firstLine="280" w:firstLineChars="100"/>
                              <w:rPr>
                                <w:rStyle w:val="5"/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5"/>
                                <w:rFonts w:hint="eastAsia"/>
                                <w:sz w:val="28"/>
                                <w:szCs w:val="28"/>
                              </w:rPr>
                              <w:t xml:space="preserve">— </w:t>
                            </w:r>
                            <w:r>
                              <w:rPr>
                                <w:rStyle w:val="5"/>
                                <w:sz w:val="28"/>
                                <w:szCs w:val="28"/>
                              </w:rPr>
                              <w:fldChar w:fldCharType="begin"/>
                            </w:r>
                            <w:r>
                              <w:rPr>
                                <w:rStyle w:val="5"/>
                                <w:sz w:val="28"/>
                                <w:szCs w:val="28"/>
                              </w:rPr>
                              <w:instrText xml:space="preserve">PAGE  </w:instrText>
                            </w:r>
                            <w:r>
                              <w:rPr>
                                <w:rStyle w:val="5"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>
                              <w:rPr>
                                <w:rStyle w:val="5"/>
                                <w:sz w:val="28"/>
                                <w:szCs w:val="28"/>
                              </w:rPr>
                              <w:t>16</w:t>
                            </w:r>
                            <w:r>
                              <w:rPr>
                                <w:rStyle w:val="5"/>
                                <w:sz w:val="28"/>
                                <w:szCs w:val="28"/>
                              </w:rPr>
                              <w:fldChar w:fldCharType="end"/>
                            </w:r>
                            <w:r>
                              <w:rPr>
                                <w:rStyle w:val="5"/>
                                <w:rFonts w:hint="eastAsia"/>
                                <w:sz w:val="28"/>
                                <w:szCs w:val="28"/>
                              </w:rPr>
                              <w:t xml:space="preserve"> —</w:t>
                            </w:r>
                          </w:p>
                          <w:p/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4.3pt;margin-top:4.3pt;height:140.25pt;width:33pt;z-index:251664384;mso-width-relative:page;mso-height-relative:page;" stroked="t" coordsize="21600,21600" o:gfxdata="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DO/zePZAAAACQEAAA8AAAAAAAAAAQAgAAAAIgAAAGRycy9k&#10;b3ducmV2LnhtbFBLAQIUABQAAAAIAIdO4kAMg1LbAQIAABoEAAAOAAAAAAAAAAEAIAAAACgBAABk&#10;cnMvZTJvRG9jLnhtbFBLBQYAAAAABgAGAFkBAACbBQAAAAA=&#10;">
                <v:path/>
                <v:fill focussize="0,0"/>
                <v:stroke color="#FFFFFF"/>
                <v:imagedata o:title=""/>
                <o:lock v:ext="edit"/>
                <v:textbox inset="0mm,0mm,0mm,0mm" style="layout-flow:vertical-ideographic;">
                  <w:txbxContent>
                    <w:p>
                      <w:pPr>
                        <w:pStyle w:val="2"/>
                        <w:spacing w:line="280" w:lineRule="exact"/>
                        <w:ind w:firstLine="280" w:firstLineChars="100"/>
                        <w:rPr>
                          <w:rStyle w:val="5"/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Style w:val="5"/>
                          <w:rFonts w:hint="eastAsia"/>
                          <w:sz w:val="28"/>
                          <w:szCs w:val="28"/>
                        </w:rPr>
                        <w:t xml:space="preserve">— </w:t>
                      </w:r>
                      <w:r>
                        <w:rPr>
                          <w:rStyle w:val="5"/>
                          <w:sz w:val="28"/>
                          <w:szCs w:val="28"/>
                        </w:rPr>
                        <w:fldChar w:fldCharType="begin"/>
                      </w:r>
                      <w:r>
                        <w:rPr>
                          <w:rStyle w:val="5"/>
                          <w:sz w:val="28"/>
                          <w:szCs w:val="28"/>
                        </w:rPr>
                        <w:instrText xml:space="preserve">PAGE  </w:instrText>
                      </w:r>
                      <w:r>
                        <w:rPr>
                          <w:rStyle w:val="5"/>
                          <w:sz w:val="28"/>
                          <w:szCs w:val="28"/>
                        </w:rPr>
                        <w:fldChar w:fldCharType="separate"/>
                      </w:r>
                      <w:r>
                        <w:rPr>
                          <w:rStyle w:val="5"/>
                          <w:sz w:val="28"/>
                          <w:szCs w:val="28"/>
                        </w:rPr>
                        <w:t>16</w:t>
                      </w:r>
                      <w:r>
                        <w:rPr>
                          <w:rStyle w:val="5"/>
                          <w:sz w:val="28"/>
                          <w:szCs w:val="28"/>
                        </w:rPr>
                        <w:fldChar w:fldCharType="end"/>
                      </w:r>
                      <w:r>
                        <w:rPr>
                          <w:rStyle w:val="5"/>
                          <w:rFonts w:hint="eastAsia"/>
                          <w:sz w:val="28"/>
                          <w:szCs w:val="28"/>
                        </w:rPr>
                        <w:t xml:space="preserve"> —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Ansi="黑体" w:eastAsia="黑体"/>
        </w:rPr>
        <w:t>附件</w:t>
      </w:r>
    </w:p>
    <w:p>
      <w:pPr>
        <w:adjustRightInd w:val="0"/>
        <w:spacing w:line="560" w:lineRule="exact"/>
        <w:ind w:firstLine="880" w:firstLineChars="200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宜春市2020年国民经济和社会发展计划主要指标</w:t>
      </w:r>
    </w:p>
    <w:bookmarkEnd w:id="0"/>
    <w:tbl>
      <w:tblPr>
        <w:tblStyle w:val="3"/>
        <w:tblW w:w="1359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7"/>
        <w:gridCol w:w="1220"/>
        <w:gridCol w:w="1134"/>
        <w:gridCol w:w="1417"/>
        <w:gridCol w:w="1276"/>
        <w:gridCol w:w="1500"/>
        <w:gridCol w:w="1193"/>
        <w:gridCol w:w="1200"/>
        <w:gridCol w:w="1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黑体"/>
                <w:kern w:val="0"/>
                <w:sz w:val="22"/>
                <w:szCs w:val="22"/>
              </w:rPr>
            </w:pPr>
            <w:r>
              <w:rPr>
                <w:rFonts w:hAnsi="黑体" w:eastAsia="黑体"/>
                <w:kern w:val="0"/>
                <w:sz w:val="22"/>
                <w:szCs w:val="22"/>
              </w:rPr>
              <w:t>指标名称</w:t>
            </w:r>
          </w:p>
        </w:tc>
        <w:tc>
          <w:tcPr>
            <w:tcW w:w="12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黑体"/>
                <w:kern w:val="0"/>
                <w:sz w:val="22"/>
                <w:szCs w:val="22"/>
              </w:rPr>
            </w:pPr>
            <w:r>
              <w:rPr>
                <w:rFonts w:hAnsi="黑体" w:eastAsia="黑体"/>
                <w:kern w:val="0"/>
                <w:sz w:val="22"/>
                <w:szCs w:val="22"/>
              </w:rPr>
              <w:t>单位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黑体"/>
                <w:kern w:val="0"/>
                <w:sz w:val="22"/>
                <w:szCs w:val="22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2018</w:t>
            </w:r>
            <w:r>
              <w:rPr>
                <w:rFonts w:hAnsi="黑体" w:eastAsia="黑体"/>
                <w:kern w:val="0"/>
                <w:sz w:val="22"/>
                <w:szCs w:val="22"/>
              </w:rPr>
              <w:t>年</w:t>
            </w:r>
          </w:p>
          <w:p>
            <w:pPr>
              <w:widowControl/>
              <w:spacing w:line="300" w:lineRule="exact"/>
              <w:jc w:val="center"/>
              <w:rPr>
                <w:rFonts w:eastAsia="黑体"/>
                <w:kern w:val="0"/>
                <w:sz w:val="22"/>
                <w:szCs w:val="22"/>
              </w:rPr>
            </w:pPr>
            <w:r>
              <w:rPr>
                <w:rFonts w:hAnsi="黑体" w:eastAsia="黑体"/>
                <w:kern w:val="0"/>
                <w:sz w:val="22"/>
                <w:szCs w:val="22"/>
              </w:rPr>
              <w:t>实际</w:t>
            </w:r>
            <w:r>
              <w:rPr>
                <w:rFonts w:eastAsia="黑体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53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黑体"/>
                <w:kern w:val="0"/>
                <w:sz w:val="22"/>
                <w:szCs w:val="22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 xml:space="preserve"> 2019</w:t>
            </w:r>
            <w:r>
              <w:rPr>
                <w:rFonts w:hAnsi="黑体" w:eastAsia="黑体"/>
                <w:kern w:val="0"/>
                <w:sz w:val="22"/>
                <w:szCs w:val="22"/>
              </w:rPr>
              <w:t>年</w:t>
            </w:r>
            <w:r>
              <w:rPr>
                <w:rFonts w:eastAsia="黑体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24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黑体"/>
                <w:kern w:val="0"/>
                <w:sz w:val="22"/>
                <w:szCs w:val="22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2020</w:t>
            </w:r>
            <w:r>
              <w:rPr>
                <w:rFonts w:hAnsi="黑体" w:eastAsia="黑体"/>
                <w:kern w:val="0"/>
                <w:sz w:val="22"/>
                <w:szCs w:val="22"/>
              </w:rPr>
              <w:t>年预期目标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黑体"/>
                <w:kern w:val="0"/>
                <w:sz w:val="22"/>
                <w:szCs w:val="22"/>
              </w:rPr>
            </w:pPr>
          </w:p>
        </w:tc>
        <w:tc>
          <w:tcPr>
            <w:tcW w:w="12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黑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黑体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黑体"/>
                <w:kern w:val="0"/>
                <w:sz w:val="22"/>
                <w:szCs w:val="22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 xml:space="preserve"> </w:t>
            </w:r>
            <w:r>
              <w:rPr>
                <w:rFonts w:hAnsi="黑体" w:eastAsia="黑体"/>
                <w:kern w:val="0"/>
                <w:sz w:val="22"/>
                <w:szCs w:val="22"/>
              </w:rPr>
              <w:t>预期目标</w:t>
            </w:r>
            <w:r>
              <w:rPr>
                <w:rFonts w:eastAsia="黑体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黑体"/>
                <w:kern w:val="0"/>
                <w:sz w:val="22"/>
                <w:szCs w:val="22"/>
              </w:rPr>
            </w:pPr>
            <w:r>
              <w:rPr>
                <w:rFonts w:hAnsi="黑体" w:eastAsia="黑体"/>
                <w:kern w:val="0"/>
                <w:sz w:val="22"/>
                <w:szCs w:val="22"/>
              </w:rPr>
              <w:t>实际完成</w:t>
            </w:r>
          </w:p>
        </w:tc>
        <w:tc>
          <w:tcPr>
            <w:tcW w:w="24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黑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黑体"/>
                <w:kern w:val="0"/>
                <w:sz w:val="22"/>
                <w:szCs w:val="22"/>
              </w:rPr>
            </w:pPr>
          </w:p>
        </w:tc>
        <w:tc>
          <w:tcPr>
            <w:tcW w:w="12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黑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黑体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黑体"/>
                <w:kern w:val="0"/>
                <w:sz w:val="22"/>
                <w:szCs w:val="22"/>
              </w:rPr>
            </w:pPr>
            <w:r>
              <w:rPr>
                <w:rFonts w:hAnsi="黑体" w:eastAsia="黑体"/>
                <w:kern w:val="0"/>
                <w:sz w:val="22"/>
                <w:szCs w:val="22"/>
              </w:rPr>
              <w:t>绝对值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黑体"/>
                <w:kern w:val="0"/>
                <w:sz w:val="22"/>
                <w:szCs w:val="22"/>
              </w:rPr>
            </w:pPr>
            <w:r>
              <w:rPr>
                <w:rFonts w:hAnsi="黑体" w:eastAsia="黑体"/>
                <w:kern w:val="0"/>
                <w:sz w:val="22"/>
                <w:szCs w:val="22"/>
              </w:rPr>
              <w:t>增幅（</w:t>
            </w:r>
            <w:r>
              <w:rPr>
                <w:rFonts w:eastAsia="黑体"/>
                <w:kern w:val="0"/>
                <w:sz w:val="22"/>
                <w:szCs w:val="22"/>
              </w:rPr>
              <w:t>%</w:t>
            </w:r>
            <w:r>
              <w:rPr>
                <w:rFonts w:hAnsi="黑体" w:eastAsia="黑体"/>
                <w:kern w:val="0"/>
                <w:sz w:val="22"/>
                <w:szCs w:val="22"/>
              </w:rPr>
              <w:t>）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黑体"/>
                <w:kern w:val="0"/>
                <w:sz w:val="22"/>
                <w:szCs w:val="22"/>
              </w:rPr>
            </w:pPr>
            <w:r>
              <w:rPr>
                <w:rFonts w:hAnsi="黑体" w:eastAsia="黑体"/>
                <w:kern w:val="0"/>
                <w:sz w:val="22"/>
                <w:szCs w:val="22"/>
              </w:rPr>
              <w:t>绝对值</w:t>
            </w:r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黑体"/>
                <w:kern w:val="0"/>
                <w:sz w:val="22"/>
                <w:szCs w:val="22"/>
              </w:rPr>
            </w:pPr>
            <w:r>
              <w:rPr>
                <w:rFonts w:hAnsi="黑体" w:eastAsia="黑体"/>
                <w:kern w:val="0"/>
                <w:sz w:val="22"/>
                <w:szCs w:val="22"/>
              </w:rPr>
              <w:t>增幅（</w:t>
            </w:r>
            <w:r>
              <w:rPr>
                <w:rFonts w:eastAsia="黑体"/>
                <w:kern w:val="0"/>
                <w:sz w:val="22"/>
                <w:szCs w:val="22"/>
              </w:rPr>
              <w:t>%</w:t>
            </w:r>
            <w:r>
              <w:rPr>
                <w:rFonts w:hAnsi="黑体" w:eastAsia="黑体"/>
                <w:kern w:val="0"/>
                <w:sz w:val="22"/>
                <w:szCs w:val="22"/>
              </w:rPr>
              <w:t>）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黑体"/>
                <w:kern w:val="0"/>
                <w:sz w:val="22"/>
                <w:szCs w:val="22"/>
              </w:rPr>
            </w:pPr>
            <w:r>
              <w:rPr>
                <w:rFonts w:hAnsi="黑体" w:eastAsia="黑体"/>
                <w:kern w:val="0"/>
                <w:sz w:val="22"/>
                <w:szCs w:val="22"/>
              </w:rPr>
              <w:t>绝对值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黑体"/>
                <w:kern w:val="0"/>
                <w:sz w:val="22"/>
                <w:szCs w:val="22"/>
              </w:rPr>
            </w:pPr>
            <w:r>
              <w:rPr>
                <w:rFonts w:hAnsi="黑体" w:eastAsia="黑体"/>
                <w:kern w:val="0"/>
                <w:sz w:val="22"/>
                <w:szCs w:val="22"/>
              </w:rPr>
              <w:t>增幅（</w:t>
            </w:r>
            <w:r>
              <w:rPr>
                <w:rFonts w:eastAsia="黑体"/>
                <w:kern w:val="0"/>
                <w:sz w:val="22"/>
                <w:szCs w:val="22"/>
              </w:rPr>
              <w:t>%</w:t>
            </w:r>
            <w:r>
              <w:rPr>
                <w:rFonts w:hAnsi="黑体" w:eastAsia="黑体"/>
                <w:kern w:val="0"/>
                <w:sz w:val="22"/>
                <w:szCs w:val="2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0"/>
                <w:sz w:val="22"/>
                <w:szCs w:val="22"/>
              </w:rPr>
              <w:t>一、地区生产总值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亿元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2485.92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2400</w:t>
            </w: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左右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8.1</w:t>
            </w: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左右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2687.57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7.6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8</w:t>
            </w: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左右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0"/>
                <w:sz w:val="22"/>
                <w:szCs w:val="22"/>
              </w:rPr>
              <w:t>二、财政总收入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亿元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391.4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414.88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6.0</w:t>
            </w: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左右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408.99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429.45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5.0</w:t>
            </w:r>
            <w:r>
              <w:rPr>
                <w:rFonts w:hint="eastAsia" w:ascii="仿宋_GB2312"/>
                <w:kern w:val="0"/>
                <w:sz w:val="22"/>
                <w:szCs w:val="22"/>
              </w:rPr>
              <w:t>左右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 xml:space="preserve">    #</w:t>
            </w:r>
            <w:r>
              <w:rPr>
                <w:rFonts w:hint="eastAsia" w:ascii="仿宋_GB2312"/>
                <w:kern w:val="0"/>
                <w:sz w:val="22"/>
                <w:szCs w:val="22"/>
              </w:rPr>
              <w:t>一般公共预算收入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亿元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236.4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248.24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5.0</w:t>
            </w: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左右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246.16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4.1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254.79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3.5</w:t>
            </w:r>
            <w:r>
              <w:rPr>
                <w:rFonts w:hint="eastAsia" w:ascii="仿宋_GB2312"/>
                <w:kern w:val="0"/>
                <w:sz w:val="22"/>
                <w:szCs w:val="22"/>
              </w:rPr>
              <w:t>左右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0"/>
                <w:sz w:val="22"/>
                <w:szCs w:val="22"/>
              </w:rPr>
              <w:t>三、</w:t>
            </w:r>
            <w:r>
              <w:rPr>
                <w:rFonts w:eastAsia="等线"/>
                <w:kern w:val="0"/>
                <w:sz w:val="22"/>
                <w:szCs w:val="22"/>
              </w:rPr>
              <w:t>500</w:t>
            </w:r>
            <w:r>
              <w:rPr>
                <w:rFonts w:hint="eastAsia" w:ascii="黑体" w:hAnsi="黑体" w:eastAsia="黑体"/>
                <w:kern w:val="0"/>
                <w:sz w:val="22"/>
                <w:szCs w:val="22"/>
              </w:rPr>
              <w:t>万元以上固定资产投资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亿元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8.8</w:t>
            </w: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左右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9.5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9.0</w:t>
            </w:r>
            <w:r>
              <w:rPr>
                <w:rFonts w:hint="eastAsia" w:ascii="仿宋_GB2312"/>
                <w:kern w:val="0"/>
                <w:sz w:val="22"/>
                <w:szCs w:val="22"/>
              </w:rPr>
              <w:t>左右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0"/>
                <w:sz w:val="22"/>
                <w:szCs w:val="22"/>
              </w:rPr>
              <w:t>四、消费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　　社会消费品零售总额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亿元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676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747.00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10.5</w:t>
            </w: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左右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752.8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11.4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10.0</w:t>
            </w:r>
            <w:r>
              <w:rPr>
                <w:rFonts w:hint="eastAsia" w:ascii="仿宋_GB2312"/>
                <w:kern w:val="0"/>
                <w:sz w:val="22"/>
                <w:szCs w:val="22"/>
              </w:rPr>
              <w:t>左右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　　居民消费价格总指数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101.7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103</w:t>
            </w: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以内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102.9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103</w:t>
            </w: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左右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0"/>
                <w:sz w:val="22"/>
                <w:szCs w:val="22"/>
              </w:rPr>
              <w:t>五、出口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亿元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164.01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稳中提质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190.89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16.39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稳中提质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0"/>
                <w:sz w:val="22"/>
                <w:szCs w:val="22"/>
              </w:rPr>
              <w:t>六、实际利用外资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亿美元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8.45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8.95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6.0</w:t>
            </w: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左右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9.0763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7.4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9.63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6.0</w:t>
            </w:r>
            <w:r>
              <w:rPr>
                <w:rFonts w:hint="eastAsia" w:ascii="仿宋_GB2312"/>
                <w:kern w:val="0"/>
                <w:sz w:val="22"/>
                <w:szCs w:val="22"/>
              </w:rPr>
              <w:t>左右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　　实际引进省外</w:t>
            </w:r>
            <w:r>
              <w:rPr>
                <w:rFonts w:eastAsia="等线"/>
                <w:kern w:val="0"/>
                <w:sz w:val="22"/>
                <w:szCs w:val="22"/>
              </w:rPr>
              <w:t>2000</w:t>
            </w:r>
            <w:r>
              <w:rPr>
                <w:rFonts w:hint="eastAsia" w:ascii="仿宋_GB2312"/>
                <w:kern w:val="0"/>
                <w:sz w:val="22"/>
                <w:szCs w:val="22"/>
              </w:rPr>
              <w:t>万元以上项目资金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亿元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699.95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756.00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8.0</w:t>
            </w: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左右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762.04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8.87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823.00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8.0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0"/>
                <w:sz w:val="22"/>
                <w:szCs w:val="22"/>
              </w:rPr>
              <w:t>七、工业化水平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　　规模以上工业增加值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亿元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6.3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8.3</w:t>
            </w: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左右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8.2</w:t>
            </w:r>
            <w:r>
              <w:rPr>
                <w:rFonts w:hint="eastAsia" w:ascii="仿宋_GB2312"/>
                <w:kern w:val="0"/>
                <w:sz w:val="22"/>
                <w:szCs w:val="22"/>
              </w:rPr>
              <w:t>左右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0"/>
                <w:sz w:val="22"/>
                <w:szCs w:val="22"/>
              </w:rPr>
              <w:t>八、城市化水平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/>
                <w:kern w:val="0"/>
                <w:sz w:val="22"/>
                <w:szCs w:val="22"/>
              </w:rPr>
              <w:t>常住人口城镇化率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49.68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50.70</w:t>
            </w: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左右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51.22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52.2</w:t>
            </w: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左右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0"/>
                <w:sz w:val="22"/>
                <w:szCs w:val="22"/>
              </w:rPr>
              <w:t>九、城乡居民人均可支配收入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　　城镇居民人均可支配收入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32248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34666.00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7.5</w:t>
            </w: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左右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34831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37440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7.5</w:t>
            </w:r>
            <w:r>
              <w:rPr>
                <w:rFonts w:hint="eastAsia" w:ascii="仿宋_GB2312"/>
                <w:kern w:val="0"/>
                <w:sz w:val="22"/>
                <w:szCs w:val="22"/>
              </w:rPr>
              <w:t>左右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　　农村居民人均可支配收入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14975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16173.00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8.0</w:t>
            </w: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左右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16362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9.3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17670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8.0</w:t>
            </w:r>
            <w:r>
              <w:rPr>
                <w:rFonts w:hint="eastAsia" w:ascii="仿宋_GB2312"/>
                <w:kern w:val="0"/>
                <w:sz w:val="22"/>
                <w:szCs w:val="22"/>
              </w:rPr>
              <w:t>左右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0"/>
                <w:sz w:val="22"/>
                <w:szCs w:val="22"/>
              </w:rPr>
              <w:t>十、人口、就业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　　人口自然增长率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7.47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7.00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6.78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6.80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　　城镇新增就业人数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万人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5.8138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4.72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5.45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4.7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kern w:val="0"/>
                <w:sz w:val="22"/>
                <w:szCs w:val="22"/>
              </w:rPr>
              <w:t>　　城镇登记失业率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 xml:space="preserve"> 3.03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≤4.50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 xml:space="preserve">2.92 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≤4.50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kern w:val="0"/>
                <w:sz w:val="22"/>
                <w:szCs w:val="22"/>
              </w:rPr>
            </w:pPr>
            <w:r>
              <w:rPr>
                <w:rFonts w:eastAsia="等线"/>
                <w:kern w:val="0"/>
                <w:sz w:val="22"/>
                <w:szCs w:val="22"/>
              </w:rPr>
              <w:t>　</w:t>
            </w:r>
          </w:p>
        </w:tc>
      </w:tr>
    </w:tbl>
    <w:p>
      <w:pPr>
        <w:adjustRightInd w:val="0"/>
        <w:spacing w:line="20" w:lineRule="exact"/>
        <w:ind w:firstLine="640" w:firstLineChars="200"/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45085</wp:posOffset>
                </wp:positionH>
                <wp:positionV relativeFrom="paragraph">
                  <wp:posOffset>124460</wp:posOffset>
                </wp:positionV>
                <wp:extent cx="838200" cy="342900"/>
                <wp:effectExtent l="4445" t="4445" r="14605" b="1460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.55pt;margin-top:9.8pt;height:27pt;width:66pt;z-index:251665408;mso-width-relative:page;mso-height-relative:page;" stroked="t" coordsize="21600,21600" o:gfxdata="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dlBazU&#10;AAAABwEAAA8AAAAAAAAAAQAgAAAAIgAAAGRycy9kb3ducmV2LnhtbFBLAQIUABQAAAAIAIdO4kCV&#10;CbCr6wEAAOcDAAAOAAAAAAAAAAEAIAAAACMBAABkcnMvZTJvRG9jLnhtbFBLBQYAAAAABgAGAFkB&#10;AACABQAAAAA=&#10;">
                <v:path/>
                <v:fill focussize="0,0"/>
                <v:stroke color="#FFFFFF"/>
                <v:imagedata o:title=""/>
                <o:lock v:ext="edit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/>
    <w:sectPr>
      <w:pgSz w:w="16838" w:h="11906" w:orient="landscape"/>
      <w:pgMar w:top="1474" w:right="1134" w:bottom="1247" w:left="2041" w:header="851" w:footer="1134" w:gutter="0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8D1A48"/>
    <w:rsid w:val="158D1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2020-06-24T10:12:00Z</dcterms:created>
  <dc:creator>️</dc:creator>
  <cp:lastModifiedBy>️</cp:lastModifiedBy>
  <dcterms:modified xsi:type="dcterms:W3CDTF">2020-06-24T10:13:10Z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